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Project Stakeholder Register Template (PMI-Compliant)</w:t>
      </w:r>
    </w:p>
    <w:p>
      <w:r>
        <w:t>This register is used to identify and document information about project stakeholders, their roles, interests, influence, and engagement strategies. It supports stakeholder analysis and engagement planning.</w:t>
      </w:r>
    </w:p>
    <w:p>
      <w:pPr>
        <w:pStyle w:val="Heading1"/>
      </w:pPr>
      <w:r>
        <w:t>1. Stakeholder Identification Table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Stakeholder Name</w:t>
            </w:r>
          </w:p>
        </w:tc>
        <w:tc>
          <w:tcPr>
            <w:tcW w:type="dxa" w:w="2160"/>
          </w:tcPr>
          <w:p>
            <w:r>
              <w:t>Position / Role</w:t>
            </w:r>
          </w:p>
        </w:tc>
        <w:tc>
          <w:tcPr>
            <w:tcW w:type="dxa" w:w="2160"/>
          </w:tcPr>
          <w:p>
            <w:r>
              <w:t>Department / Organization</w:t>
            </w:r>
          </w:p>
        </w:tc>
        <w:tc>
          <w:tcPr>
            <w:tcW w:type="dxa" w:w="2160"/>
          </w:tcPr>
          <w:p>
            <w:r>
              <w:t>Contact Info</w:t>
            </w:r>
          </w:p>
        </w:tc>
      </w:tr>
      <w:tr>
        <w:tc>
          <w:tcPr>
            <w:tcW w:type="dxa" w:w="2160"/>
          </w:tcPr>
          <w:p>
            <w:r>
              <w:t>John Smith</w:t>
            </w:r>
          </w:p>
        </w:tc>
        <w:tc>
          <w:tcPr>
            <w:tcW w:type="dxa" w:w="2160"/>
          </w:tcPr>
          <w:p>
            <w:r>
              <w:t>Project Sponsor</w:t>
            </w:r>
          </w:p>
        </w:tc>
        <w:tc>
          <w:tcPr>
            <w:tcW w:type="dxa" w:w="2160"/>
          </w:tcPr>
          <w:p>
            <w:r>
              <w:t>Executive Office</w:t>
            </w:r>
          </w:p>
        </w:tc>
        <w:tc>
          <w:tcPr>
            <w:tcW w:type="dxa" w:w="2160"/>
          </w:tcPr>
          <w:p>
            <w:r>
              <w:t>john.smith@company.com</w:t>
            </w:r>
          </w:p>
        </w:tc>
      </w:tr>
      <w:tr>
        <w:tc>
          <w:tcPr>
            <w:tcW w:type="dxa" w:w="2160"/>
          </w:tcPr>
          <w:p>
            <w:r>
              <w:t>Jane Doe</w:t>
            </w:r>
          </w:p>
        </w:tc>
        <w:tc>
          <w:tcPr>
            <w:tcW w:type="dxa" w:w="2160"/>
          </w:tcPr>
          <w:p>
            <w:r>
              <w:t>Product Owner</w:t>
            </w:r>
          </w:p>
        </w:tc>
        <w:tc>
          <w:tcPr>
            <w:tcW w:type="dxa" w:w="2160"/>
          </w:tcPr>
          <w:p>
            <w:r>
              <w:t>Product Management</w:t>
            </w:r>
          </w:p>
        </w:tc>
        <w:tc>
          <w:tcPr>
            <w:tcW w:type="dxa" w:w="2160"/>
          </w:tcPr>
          <w:p>
            <w:r>
              <w:t>jane.doe@company.com</w:t>
            </w:r>
          </w:p>
        </w:tc>
      </w:tr>
    </w:tbl>
    <w:p>
      <w:pPr>
        <w:pStyle w:val="Heading1"/>
      </w:pPr>
      <w:r>
        <w:t>2. Stakeholder Analysis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</w:tcPr>
          <w:p>
            <w:r>
              <w:t>Stakeholder Name</w:t>
            </w:r>
          </w:p>
        </w:tc>
        <w:tc>
          <w:tcPr>
            <w:tcW w:type="dxa" w:w="1728"/>
          </w:tcPr>
          <w:p>
            <w:r>
              <w:t>Influence (High/Med/Low)</w:t>
            </w:r>
          </w:p>
        </w:tc>
        <w:tc>
          <w:tcPr>
            <w:tcW w:type="dxa" w:w="1728"/>
          </w:tcPr>
          <w:p>
            <w:r>
              <w:t>Interest (High/Med/Low)</w:t>
            </w:r>
          </w:p>
        </w:tc>
        <w:tc>
          <w:tcPr>
            <w:tcW w:type="dxa" w:w="1728"/>
          </w:tcPr>
          <w:p>
            <w:r>
              <w:t>Support Level</w:t>
            </w:r>
          </w:p>
        </w:tc>
        <w:tc>
          <w:tcPr>
            <w:tcW w:type="dxa" w:w="1728"/>
          </w:tcPr>
          <w:p>
            <w:r>
              <w:t>Power/Interest Classification</w:t>
            </w:r>
          </w:p>
        </w:tc>
      </w:tr>
      <w:tr>
        <w:tc>
          <w:tcPr>
            <w:tcW w:type="dxa" w:w="1728"/>
          </w:tcPr>
          <w:p>
            <w:r>
              <w:t>John Smith</w:t>
            </w:r>
          </w:p>
        </w:tc>
        <w:tc>
          <w:tcPr>
            <w:tcW w:type="dxa" w:w="1728"/>
          </w:tcPr>
          <w:p>
            <w:r>
              <w:t>High</w:t>
            </w:r>
          </w:p>
        </w:tc>
        <w:tc>
          <w:tcPr>
            <w:tcW w:type="dxa" w:w="1728"/>
          </w:tcPr>
          <w:p>
            <w:r>
              <w:t>High</w:t>
            </w:r>
          </w:p>
        </w:tc>
        <w:tc>
          <w:tcPr>
            <w:tcW w:type="dxa" w:w="1728"/>
          </w:tcPr>
          <w:p>
            <w:r>
              <w:t>Supportive</w:t>
            </w:r>
          </w:p>
        </w:tc>
        <w:tc>
          <w:tcPr>
            <w:tcW w:type="dxa" w:w="1728"/>
          </w:tcPr>
          <w:p>
            <w:r>
              <w:t>High Power / High Interest</w:t>
            </w:r>
          </w:p>
        </w:tc>
      </w:tr>
      <w:tr>
        <w:tc>
          <w:tcPr>
            <w:tcW w:type="dxa" w:w="1728"/>
          </w:tcPr>
          <w:p>
            <w:r>
              <w:t>Jane Doe</w:t>
            </w:r>
          </w:p>
        </w:tc>
        <w:tc>
          <w:tcPr>
            <w:tcW w:type="dxa" w:w="1728"/>
          </w:tcPr>
          <w:p>
            <w:r>
              <w:t>Medium</w:t>
            </w:r>
          </w:p>
        </w:tc>
        <w:tc>
          <w:tcPr>
            <w:tcW w:type="dxa" w:w="1728"/>
          </w:tcPr>
          <w:p>
            <w:r>
              <w:t>High</w:t>
            </w:r>
          </w:p>
        </w:tc>
        <w:tc>
          <w:tcPr>
            <w:tcW w:type="dxa" w:w="1728"/>
          </w:tcPr>
          <w:p>
            <w:r>
              <w:t>Supportive</w:t>
            </w:r>
          </w:p>
        </w:tc>
        <w:tc>
          <w:tcPr>
            <w:tcW w:type="dxa" w:w="1728"/>
          </w:tcPr>
          <w:p>
            <w:r>
              <w:t>Medium Power / High Interest</w:t>
            </w:r>
          </w:p>
        </w:tc>
      </w:tr>
    </w:tbl>
    <w:p>
      <w:pPr>
        <w:pStyle w:val="Heading1"/>
      </w:pPr>
      <w:r>
        <w:t>3. Stakeholder Engagement Strategy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</w:tcPr>
          <w:p>
            <w:r>
              <w:t>Stakeholder Name</w:t>
            </w:r>
          </w:p>
        </w:tc>
        <w:tc>
          <w:tcPr>
            <w:tcW w:type="dxa" w:w="1728"/>
          </w:tcPr>
          <w:p>
            <w:r>
              <w:t>Engagement Strategy</w:t>
            </w:r>
          </w:p>
        </w:tc>
        <w:tc>
          <w:tcPr>
            <w:tcW w:type="dxa" w:w="1728"/>
          </w:tcPr>
          <w:p>
            <w:r>
              <w:t>Communication Method</w:t>
            </w:r>
          </w:p>
        </w:tc>
        <w:tc>
          <w:tcPr>
            <w:tcW w:type="dxa" w:w="1728"/>
          </w:tcPr>
          <w:p>
            <w:r>
              <w:t>Frequency</w:t>
            </w:r>
          </w:p>
        </w:tc>
        <w:tc>
          <w:tcPr>
            <w:tcW w:type="dxa" w:w="1728"/>
          </w:tcPr>
          <w:p>
            <w:r>
              <w:t>Responsible Person</w:t>
            </w:r>
          </w:p>
        </w:tc>
      </w:tr>
      <w:tr>
        <w:tc>
          <w:tcPr>
            <w:tcW w:type="dxa" w:w="1728"/>
          </w:tcPr>
          <w:p>
            <w:r>
              <w:t>John Smith</w:t>
            </w:r>
          </w:p>
        </w:tc>
        <w:tc>
          <w:tcPr>
            <w:tcW w:type="dxa" w:w="1728"/>
          </w:tcPr>
          <w:p>
            <w:r>
              <w:t>Keep informed and involved in major decisions</w:t>
            </w:r>
          </w:p>
        </w:tc>
        <w:tc>
          <w:tcPr>
            <w:tcW w:type="dxa" w:w="1728"/>
          </w:tcPr>
          <w:p>
            <w:r>
              <w:t>Email, Steering Mtgs</w:t>
            </w:r>
          </w:p>
        </w:tc>
        <w:tc>
          <w:tcPr>
            <w:tcW w:type="dxa" w:w="1728"/>
          </w:tcPr>
          <w:p>
            <w:r>
              <w:t>Bi-weekly</w:t>
            </w:r>
          </w:p>
        </w:tc>
        <w:tc>
          <w:tcPr>
            <w:tcW w:type="dxa" w:w="1728"/>
          </w:tcPr>
          <w:p>
            <w:r>
              <w:t>Project Manager</w:t>
            </w:r>
          </w:p>
        </w:tc>
      </w:tr>
      <w:tr>
        <w:tc>
          <w:tcPr>
            <w:tcW w:type="dxa" w:w="1728"/>
          </w:tcPr>
          <w:p>
            <w:r>
              <w:t>Jane Doe</w:t>
            </w:r>
          </w:p>
        </w:tc>
        <w:tc>
          <w:tcPr>
            <w:tcW w:type="dxa" w:w="1728"/>
          </w:tcPr>
          <w:p>
            <w:r>
              <w:t>Involve in backlog grooming and requirement validation</w:t>
            </w:r>
          </w:p>
        </w:tc>
        <w:tc>
          <w:tcPr>
            <w:tcW w:type="dxa" w:w="1728"/>
          </w:tcPr>
          <w:p>
            <w:r>
              <w:t>Team Sync, Jira</w:t>
            </w:r>
          </w:p>
        </w:tc>
        <w:tc>
          <w:tcPr>
            <w:tcW w:type="dxa" w:w="1728"/>
          </w:tcPr>
          <w:p>
            <w:r>
              <w:t>Weekly</w:t>
            </w:r>
          </w:p>
        </w:tc>
        <w:tc>
          <w:tcPr>
            <w:tcW w:type="dxa" w:w="1728"/>
          </w:tcPr>
          <w:p>
            <w:r>
              <w:t>Business Analyst</w:t>
            </w:r>
          </w:p>
        </w:tc>
      </w:tr>
    </w:tbl>
    <w:p>
      <w:pPr>
        <w:pStyle w:val="Heading1"/>
      </w:pPr>
      <w:r>
        <w:t>4. Notes and Observations</w:t>
      </w:r>
    </w:p>
    <w:p>
      <w:r>
        <w:t>- Conflicts of interest</w:t>
        <w:br/>
        <w:t>- Influence changes during the project lifecycle</w:t>
        <w:br/>
        <w:t>- Special considerations for communication or engagement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